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FC" w:rsidRPr="00B05FFC" w:rsidRDefault="00B05FFC" w:rsidP="00B05FFC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proofErr w:type="spellStart"/>
      <w:r w:rsidRPr="00B05FFC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Thyssenkrupp</w:t>
      </w:r>
      <w:proofErr w:type="spellEnd"/>
      <w:r w:rsidRPr="00B05FFC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et Tata signent leur accord dans l'acier européen</w:t>
      </w:r>
    </w:p>
    <w:p w:rsidR="00B05FFC" w:rsidRPr="00B05FFC" w:rsidRDefault="00B05FFC" w:rsidP="00B05FF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Après deux ans de négociations, l'allemand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et l'indien Tata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Steel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ont signé le 30 juin leur accord pour la création d'une coentreprise. La société commune devrait être le plus important aciériste européen derrière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ArcelorMittal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:rsidR="00B05FFC" w:rsidRPr="00B05FFC" w:rsidRDefault="00B05FFC" w:rsidP="00B05FF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L'allemand 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fldChar w:fldCharType="begin"/>
      </w: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instrText xml:space="preserve"> HYPERLINK "https://www.usinenouvelle.com/thyssenkrupp/" \o "News du groupe de sidérurgie allemand Thyssenkrupp sur L'Usine Nouvelle" \t "" </w:instrText>
      </w: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fldChar w:fldCharType="separate"/>
      </w:r>
      <w:r w:rsidRPr="00B05FFC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fldChar w:fldCharType="end"/>
      </w: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 et l'indien </w:t>
      </w:r>
      <w:hyperlink r:id="rId5" w:tgtFrame="" w:tooltip="Toutes les infos sur le groupe industriel indien Tata" w:history="1">
        <w:r w:rsidRPr="00B05FFC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Tata</w:t>
        </w:r>
      </w:hyperlink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Steel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ont finalement signé le samedi 30 juin leur accord définitif pour la création d'une coentreprise, la plus importante opération dans le secteur européen de l'acier depuis plus de dix ans.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Cette signature fait suite à des mois de négociations depuis l'accord initial annoncé en septembre 2017. Les deux sociétés espèrent que cette opération leur permettra de résister à la volatilité du secteur de l'acier, marqué par des surcapacités.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plus grosse opération dans le secteur depuis le rachat d'Arcelor par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Mittal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en 2006, crée un nouvel ensemble, qui sera baptisé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Tata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Steel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et emploiera 48 000 personnes, pour un chiffre d'affaires combiné de 15 milliards d'euros.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La société commune, dont le siège social sera situé aux Pays-Bas, sera le plus important aciériste européen derrière 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fldChar w:fldCharType="begin"/>
      </w: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instrText xml:space="preserve"> HYPERLINK "https://www.usinenouvelle.com/arcelormittal/" \o "Actualités et news économiques du groupe sidérurgique mondial - L'Usine Nouvelle" \t "" </w:instrText>
      </w: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fldChar w:fldCharType="separate"/>
      </w:r>
      <w:r w:rsidRPr="00B05FFC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ArcelorMittal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fldChar w:fldCharType="end"/>
      </w: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 qui est le premier sidérurgiste mondial.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BB0D22"/>
          <w:sz w:val="24"/>
          <w:szCs w:val="24"/>
          <w:lang w:eastAsia="fr-BE"/>
        </w:rPr>
        <w:t>Une fusion concrétisée pour fin 2018 ou début 2019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concrétisation de la fusion, qui a nécessité deux ans de négociations, devrait se faire au quatrième trimestre 2018 ou au premier trimestre 2019 en fonction de l'avancée des négociations avec les autorités antitrust européennes, a dit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coentreprise ne se contente pas de répondre aux défis du secteur de l'acier en Europe, a dit le président du directoire du groupe allemand, Heinrich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Hiesinger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. "C'est la seule solution pour créer une valeur supplémentaire d'environ cinq milliards d'euros pour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et Tata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Steel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grâce à des synergies qui ne peuvent être dégagées dans un scénario en solo."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Cette finalisation a lieu alors que </w:t>
      </w:r>
      <w:hyperlink r:id="rId6" w:tgtFrame="_blank" w:history="1">
        <w:r w:rsidRPr="00B05FFC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les sidérurgistes européens sont confrontés à des droits de douanes de 25%</w:t>
        </w:r>
      </w:hyperlink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 sur leurs exportations vers les États-Unis depuis le début du mois de juin.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BB0D22"/>
          <w:sz w:val="24"/>
          <w:szCs w:val="24"/>
          <w:lang w:eastAsia="fr-BE"/>
        </w:rPr>
        <w:t>Les actions des sidérurgistes européens chutent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Depuis l'annonce fin mai par le président américain Donald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Trump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 son intention d'imposer ces droits de douanes, les actions des sidérurgistes européens,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ArcelorMittal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Salzgitter et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Voestalpine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ont perdu entre 8% et 17% de leur valeur.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division acier de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enregistré de meilleures performances opérationnelles que celle de Tata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Steel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en Europe depuis leur accord préliminaire de septembre 2017, ce qui a amené les deux groupes à devoir ajuster la valeur des actifs qu'ils apporteront à la future coentreprise.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lastRenderedPageBreak/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dit que l'accord prévoyait "une compensation correcte" pour combler cet écart de valorisation, qui se trouve une fourchette située autour de 500 millions d'euros: si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Tata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Steel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est introduite en Bourse, comme cela est largement attendu, le groupe allemand a ajouté qu'il obtiendrait une part plus importante du produit de la vente.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BB0D22"/>
          <w:sz w:val="24"/>
          <w:szCs w:val="24"/>
          <w:lang w:eastAsia="fr-BE"/>
        </w:rPr>
        <w:t>Des synergies annuelles de 400 millions d'euros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aussi dit tabler sur des synergies annuelles d'au moins 400 millions à 500 millions d'euros de l'opération. L'essentiel des synergies sera dégagé dans les trois premières années de la coentreprise, a précisé le directeur financier Guido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Kzerkoff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direction de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présentera un plan stratégique détaillé au conseil de surveillance dans la deuxième semaine de juillet. Selon des sources, il pourrait inclure la vente de sa division </w:t>
      </w:r>
      <w:proofErr w:type="spellStart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Material</w:t>
      </w:r>
      <w:proofErr w:type="spellEnd"/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Services et d'autres réductions de coûts.</w:t>
      </w:r>
    </w:p>
    <w:p w:rsidR="00B05FFC" w:rsidRPr="00B05FFC" w:rsidRDefault="00B05FFC" w:rsidP="00B05F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05FFC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:rsidR="00375183" w:rsidRPr="00B05FFC" w:rsidRDefault="00375183">
      <w:pPr>
        <w:rPr>
          <w:rFonts w:cstheme="minorHAnsi"/>
          <w:sz w:val="24"/>
          <w:szCs w:val="24"/>
        </w:rPr>
      </w:pPr>
    </w:p>
    <w:sectPr w:rsidR="00375183" w:rsidRPr="00B05FFC" w:rsidSect="0037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4E67"/>
    <w:multiLevelType w:val="multilevel"/>
    <w:tmpl w:val="D59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8398F"/>
    <w:multiLevelType w:val="multilevel"/>
    <w:tmpl w:val="DF2C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FFC"/>
    <w:rsid w:val="00375183"/>
    <w:rsid w:val="00B0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83"/>
  </w:style>
  <w:style w:type="paragraph" w:styleId="Titre1">
    <w:name w:val="heading 1"/>
    <w:basedOn w:val="Normal"/>
    <w:link w:val="Titre1Car"/>
    <w:uiPriority w:val="9"/>
    <w:qFormat/>
    <w:rsid w:val="00B05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B05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5FFC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B05FFC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B05FFC"/>
  </w:style>
  <w:style w:type="character" w:styleId="Lienhypertexte">
    <w:name w:val="Hyperlink"/>
    <w:basedOn w:val="Policepardfaut"/>
    <w:uiPriority w:val="99"/>
    <w:semiHidden/>
    <w:unhideWhenUsed/>
    <w:rsid w:val="00B05FFC"/>
    <w:rPr>
      <w:color w:val="0000FF"/>
      <w:u w:val="single"/>
    </w:rPr>
  </w:style>
  <w:style w:type="paragraph" w:customStyle="1" w:styleId="datetime">
    <w:name w:val="datetime"/>
    <w:basedOn w:val="Normal"/>
    <w:rsid w:val="00B0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B05FFC"/>
  </w:style>
  <w:style w:type="paragraph" w:customStyle="1" w:styleId="titrebloc">
    <w:name w:val="titrebloc"/>
    <w:basedOn w:val="Normal"/>
    <w:rsid w:val="00B0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B05FFC"/>
  </w:style>
  <w:style w:type="paragraph" w:styleId="NormalWeb">
    <w:name w:val="Normal (Web)"/>
    <w:basedOn w:val="Normal"/>
    <w:uiPriority w:val="99"/>
    <w:semiHidden/>
    <w:unhideWhenUsed/>
    <w:rsid w:val="00B0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intertitre">
    <w:name w:val="intertitre"/>
    <w:basedOn w:val="Policepardfaut"/>
    <w:rsid w:val="00B05FFC"/>
  </w:style>
  <w:style w:type="character" w:styleId="Accentuation">
    <w:name w:val="Emphasis"/>
    <w:basedOn w:val="Policepardfaut"/>
    <w:uiPriority w:val="20"/>
    <w:qFormat/>
    <w:rsid w:val="00B05F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184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51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nenouvelle.com/article/la-reprise-de-l-acier-europeen-menacee-par-les-taxes-americaines-sur-l-acier.N661669" TargetMode="External"/><Relationship Id="rId5" Type="http://schemas.openxmlformats.org/officeDocument/2006/relationships/hyperlink" Target="https://www.usinenouvelle.com/t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2018-07-02T07:09:00Z</dcterms:created>
  <dcterms:modified xsi:type="dcterms:W3CDTF">2018-07-02T07:12:00Z</dcterms:modified>
</cp:coreProperties>
</file>